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203CB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2015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«Медсервис»,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в лице директора Мовергоза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ставщик, в лице _____________, действующ___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которая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1.3. Срок поставки товара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: с момента подписания настоящего Договора и до 31.12.2015 года. Поставка осуществляется в следующем порядке: в течение 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трех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календарных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дней с момента поступления 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письменной заявки 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содержащей наименование и количество подлежащего поставке Товара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Направление </w:t>
      </w:r>
      <w:r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 Поставщику осуществляется по следующей электронной почте:</w:t>
      </w:r>
      <w:r w:rsidRPr="00463BD3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D74AA">
        <w:rPr>
          <w:rFonts w:ascii="Times New Roman" w:hAnsi="Times New Roman" w:cs="Calibri"/>
          <w:color w:val="000000"/>
          <w:sz w:val="24"/>
          <w:szCs w:val="24"/>
          <w:u w:val="single"/>
          <w:lang w:eastAsia="ru-RU"/>
        </w:rPr>
        <w:t>____________________</w:t>
      </w:r>
      <w:r>
        <w:rPr>
          <w:rFonts w:ascii="Times New Roman" w:hAnsi="Times New Roman" w:cs="Calibri"/>
          <w:color w:val="000000"/>
          <w:sz w:val="24"/>
          <w:szCs w:val="24"/>
          <w:lang w:eastAsia="ru-RU"/>
        </w:rPr>
        <w:t>. Факт принятия заявки Поставщиком подтверждается уведомлением о ее прочтении.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Стоимость Товара по настоящему Договор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____________ рублей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НДС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CA799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предусмотрен.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Цена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 единицы Товара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определя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ется Сторонами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3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двадцати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 счет-фактуры, оформленной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случае,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в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. 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либо предоставление неполного комплекта таких документов.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гарантирует качество Т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 в течение гарантийного срока,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который устанавливается </w:t>
      </w:r>
      <w:r w:rsidR="0081781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производителем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подписания товарной накладной, подтверждающей факт поставки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7E0E8A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pao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Excel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pdf.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резидентства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доначисленных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обязательств Сторонами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является/ются: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«Медсервис»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20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«Медсервис»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лице директора Мовергоза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4864FE" w:rsidP="005A73D2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вышеуказанным договором, Поставщик обязуется пост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указанный в нижеприведенной таблице Товар, а </w:t>
            </w:r>
            <w:r w:rsidR="00D066A7"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прин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опла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Товар. Поставка осуществляется 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согласно п. 1</w:t>
            </w:r>
            <w:r w:rsidR="00F604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настоящего Договора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обязательным указанием наименования и необходимого количества Товара. 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  <w:bookmarkStart w:id="2" w:name="_GoBack"/>
                  <w:bookmarkEnd w:id="2"/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8D66A9">
              <w:trPr>
                <w:trHeight w:val="65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7E0E8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Эндопротез тазобедренного сустава тотальный бесцементный с комбинированной фиксацией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7E0E8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7E0E8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45F68" w:rsidRPr="004864FE" w:rsidTr="008D66A9">
              <w:trPr>
                <w:trHeight w:val="65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8D66A9" w:rsidRDefault="007E0E8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CA7990" w:rsidRDefault="007E0E8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Эндопротез тазобедренного сустава тотальный цементной фиксации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4864FE" w:rsidRDefault="007E0E8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4864FE" w:rsidRDefault="007E0E8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4864FE" w:rsidRDefault="00C45F68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4864FE" w:rsidRDefault="00C45F68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45F68" w:rsidRPr="004864FE" w:rsidRDefault="00C45F68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CA7990" w:rsidP="00CA79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НДС</w:t>
                  </w:r>
                  <w:r w:rsidRPr="00CA79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не предусмотрен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Общая </w:t>
            </w:r>
            <w:r w:rsidR="007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  <w:r w:rsidR="00700BA5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Товара, поставляемого по настоящей спецификации, составляет __________, </w:t>
            </w:r>
            <w:r w:rsidR="00CA7990" w:rsidRPr="00CA7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НДС не предусмотрен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за поставляемый Товар производится на расчетный счет Поставщика </w:t>
            </w:r>
            <w:r w:rsidR="008926B5" w:rsidRPr="00B84C5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течение 20 (двадцати) банковских дней с момента получения </w:t>
            </w:r>
            <w:r w:rsidR="00D066A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Покупателе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м счет-фактуры, оформленной надлежащим образом, при условии выполнения Поставщиком обязанности по поставке Товара.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отгрузки товара Поставщик предоставляет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Покупателю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товарную накладную ТОРГ-12, счет-фактуру </w:t>
            </w:r>
            <w:r w:rsidR="008338F7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требованием НК РФ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сертификаты (паспорта) качества производителя.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Октябрьская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С.В. Мовергоз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02" w:rsidRDefault="00EE0C02" w:rsidP="00804037">
      <w:pPr>
        <w:spacing w:after="0" w:line="240" w:lineRule="auto"/>
      </w:pPr>
      <w:r>
        <w:separator/>
      </w:r>
    </w:p>
  </w:endnote>
  <w:endnote w:type="continuationSeparator" w:id="0">
    <w:p w:rsidR="00EE0C02" w:rsidRDefault="00EE0C02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5C2C39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02" w:rsidRDefault="00EE0C02" w:rsidP="00804037">
      <w:pPr>
        <w:spacing w:after="0" w:line="240" w:lineRule="auto"/>
      </w:pPr>
      <w:r>
        <w:separator/>
      </w:r>
    </w:p>
  </w:footnote>
  <w:footnote w:type="continuationSeparator" w:id="0">
    <w:p w:rsidR="00EE0C02" w:rsidRDefault="00EE0C02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209AD"/>
    <w:rsid w:val="000251E4"/>
    <w:rsid w:val="000315C8"/>
    <w:rsid w:val="000478EA"/>
    <w:rsid w:val="00073C86"/>
    <w:rsid w:val="00082FD4"/>
    <w:rsid w:val="000C5C28"/>
    <w:rsid w:val="000D6980"/>
    <w:rsid w:val="000E18F8"/>
    <w:rsid w:val="000E7C8D"/>
    <w:rsid w:val="000F00D6"/>
    <w:rsid w:val="00120212"/>
    <w:rsid w:val="001230CF"/>
    <w:rsid w:val="00126E70"/>
    <w:rsid w:val="00127178"/>
    <w:rsid w:val="00137140"/>
    <w:rsid w:val="0016541A"/>
    <w:rsid w:val="00175133"/>
    <w:rsid w:val="0018292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6216A"/>
    <w:rsid w:val="00263786"/>
    <w:rsid w:val="00270F5D"/>
    <w:rsid w:val="002769A3"/>
    <w:rsid w:val="00276F4F"/>
    <w:rsid w:val="00282941"/>
    <w:rsid w:val="00285734"/>
    <w:rsid w:val="00287DF1"/>
    <w:rsid w:val="002976B3"/>
    <w:rsid w:val="002C1B02"/>
    <w:rsid w:val="002C79E3"/>
    <w:rsid w:val="002F6618"/>
    <w:rsid w:val="00307E36"/>
    <w:rsid w:val="00327172"/>
    <w:rsid w:val="00333592"/>
    <w:rsid w:val="00367212"/>
    <w:rsid w:val="00385761"/>
    <w:rsid w:val="00396322"/>
    <w:rsid w:val="003C6C00"/>
    <w:rsid w:val="003F4A56"/>
    <w:rsid w:val="00410555"/>
    <w:rsid w:val="004342D5"/>
    <w:rsid w:val="004343CB"/>
    <w:rsid w:val="004422F4"/>
    <w:rsid w:val="0045523F"/>
    <w:rsid w:val="00466480"/>
    <w:rsid w:val="004672A5"/>
    <w:rsid w:val="00481CB9"/>
    <w:rsid w:val="00482373"/>
    <w:rsid w:val="004864FE"/>
    <w:rsid w:val="00490FE7"/>
    <w:rsid w:val="00495547"/>
    <w:rsid w:val="004C5C75"/>
    <w:rsid w:val="004D6B57"/>
    <w:rsid w:val="004E5772"/>
    <w:rsid w:val="004F618B"/>
    <w:rsid w:val="00511F49"/>
    <w:rsid w:val="00514C8A"/>
    <w:rsid w:val="0051712D"/>
    <w:rsid w:val="00522E9D"/>
    <w:rsid w:val="00524ABD"/>
    <w:rsid w:val="00571470"/>
    <w:rsid w:val="0058107A"/>
    <w:rsid w:val="005A73D2"/>
    <w:rsid w:val="005C2C39"/>
    <w:rsid w:val="005C577B"/>
    <w:rsid w:val="005F4320"/>
    <w:rsid w:val="00603D7F"/>
    <w:rsid w:val="00605D5E"/>
    <w:rsid w:val="00611B4A"/>
    <w:rsid w:val="00613E40"/>
    <w:rsid w:val="006719A9"/>
    <w:rsid w:val="00684E3B"/>
    <w:rsid w:val="00693BC2"/>
    <w:rsid w:val="006B03FC"/>
    <w:rsid w:val="006B1049"/>
    <w:rsid w:val="006D60AC"/>
    <w:rsid w:val="006E5B00"/>
    <w:rsid w:val="006F48C5"/>
    <w:rsid w:val="00700BA5"/>
    <w:rsid w:val="007154ED"/>
    <w:rsid w:val="00733105"/>
    <w:rsid w:val="0074058F"/>
    <w:rsid w:val="00740FFA"/>
    <w:rsid w:val="00756930"/>
    <w:rsid w:val="00770BD1"/>
    <w:rsid w:val="007943E8"/>
    <w:rsid w:val="007A4B9F"/>
    <w:rsid w:val="007A4F44"/>
    <w:rsid w:val="007B6833"/>
    <w:rsid w:val="007C170D"/>
    <w:rsid w:val="007C3EAB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40481"/>
    <w:rsid w:val="00841949"/>
    <w:rsid w:val="00854263"/>
    <w:rsid w:val="00874AE1"/>
    <w:rsid w:val="00880318"/>
    <w:rsid w:val="008926B5"/>
    <w:rsid w:val="008B3420"/>
    <w:rsid w:val="008B4B9E"/>
    <w:rsid w:val="008B6698"/>
    <w:rsid w:val="008D0DFD"/>
    <w:rsid w:val="008D66A9"/>
    <w:rsid w:val="008F09A3"/>
    <w:rsid w:val="008F7D97"/>
    <w:rsid w:val="009040E0"/>
    <w:rsid w:val="009119CA"/>
    <w:rsid w:val="0091293C"/>
    <w:rsid w:val="00915225"/>
    <w:rsid w:val="00916635"/>
    <w:rsid w:val="009202C3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2DFF"/>
    <w:rsid w:val="009B3F46"/>
    <w:rsid w:val="009B6B6F"/>
    <w:rsid w:val="00A00E23"/>
    <w:rsid w:val="00A14AE8"/>
    <w:rsid w:val="00A354AE"/>
    <w:rsid w:val="00A6288B"/>
    <w:rsid w:val="00A81CC7"/>
    <w:rsid w:val="00AB4278"/>
    <w:rsid w:val="00AC6191"/>
    <w:rsid w:val="00AC7973"/>
    <w:rsid w:val="00AD12B8"/>
    <w:rsid w:val="00AD4B8E"/>
    <w:rsid w:val="00AE2B22"/>
    <w:rsid w:val="00B05515"/>
    <w:rsid w:val="00B22F8D"/>
    <w:rsid w:val="00B32C16"/>
    <w:rsid w:val="00B34F53"/>
    <w:rsid w:val="00B4451F"/>
    <w:rsid w:val="00B63941"/>
    <w:rsid w:val="00B63CAD"/>
    <w:rsid w:val="00B67236"/>
    <w:rsid w:val="00B725E3"/>
    <w:rsid w:val="00B75929"/>
    <w:rsid w:val="00B77D9B"/>
    <w:rsid w:val="00B84C55"/>
    <w:rsid w:val="00B917D1"/>
    <w:rsid w:val="00B956CD"/>
    <w:rsid w:val="00BC1418"/>
    <w:rsid w:val="00BC36F7"/>
    <w:rsid w:val="00BE10E3"/>
    <w:rsid w:val="00BE7244"/>
    <w:rsid w:val="00C10457"/>
    <w:rsid w:val="00C179EC"/>
    <w:rsid w:val="00C350D9"/>
    <w:rsid w:val="00C45F68"/>
    <w:rsid w:val="00C4720B"/>
    <w:rsid w:val="00C55C32"/>
    <w:rsid w:val="00C55CD2"/>
    <w:rsid w:val="00C7336A"/>
    <w:rsid w:val="00C7733B"/>
    <w:rsid w:val="00C816EE"/>
    <w:rsid w:val="00C829CB"/>
    <w:rsid w:val="00C93485"/>
    <w:rsid w:val="00CA1275"/>
    <w:rsid w:val="00CA7990"/>
    <w:rsid w:val="00CB7076"/>
    <w:rsid w:val="00CD451C"/>
    <w:rsid w:val="00D066A7"/>
    <w:rsid w:val="00D131D3"/>
    <w:rsid w:val="00D32B69"/>
    <w:rsid w:val="00D407E1"/>
    <w:rsid w:val="00D553F9"/>
    <w:rsid w:val="00D567AC"/>
    <w:rsid w:val="00D63467"/>
    <w:rsid w:val="00D674BF"/>
    <w:rsid w:val="00D842EC"/>
    <w:rsid w:val="00D9093F"/>
    <w:rsid w:val="00D94D14"/>
    <w:rsid w:val="00DA05BF"/>
    <w:rsid w:val="00DC0E42"/>
    <w:rsid w:val="00DC6277"/>
    <w:rsid w:val="00DE5513"/>
    <w:rsid w:val="00DF3BAD"/>
    <w:rsid w:val="00DF4C05"/>
    <w:rsid w:val="00E34ABD"/>
    <w:rsid w:val="00E36B2D"/>
    <w:rsid w:val="00E4560D"/>
    <w:rsid w:val="00E46728"/>
    <w:rsid w:val="00E46C91"/>
    <w:rsid w:val="00E5164A"/>
    <w:rsid w:val="00E52E2C"/>
    <w:rsid w:val="00E63276"/>
    <w:rsid w:val="00E81587"/>
    <w:rsid w:val="00E91083"/>
    <w:rsid w:val="00E9413F"/>
    <w:rsid w:val="00EE0C02"/>
    <w:rsid w:val="00EE40AE"/>
    <w:rsid w:val="00F6019B"/>
    <w:rsid w:val="00F60409"/>
    <w:rsid w:val="00F84E70"/>
    <w:rsid w:val="00F8618B"/>
    <w:rsid w:val="00F8713F"/>
    <w:rsid w:val="00F97BF7"/>
    <w:rsid w:val="00FA6670"/>
    <w:rsid w:val="00FB39D3"/>
    <w:rsid w:val="00FD6B28"/>
    <w:rsid w:val="00FD76A7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1BA6-1421-4E78-B2EE-7B8BD6BF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19</cp:revision>
  <cp:lastPrinted>2014-11-26T09:54:00Z</cp:lastPrinted>
  <dcterms:created xsi:type="dcterms:W3CDTF">2015-08-11T05:50:00Z</dcterms:created>
  <dcterms:modified xsi:type="dcterms:W3CDTF">2015-08-18T05:42:00Z</dcterms:modified>
</cp:coreProperties>
</file>